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13" w:rsidRPr="00695713" w:rsidRDefault="00695713" w:rsidP="00695713">
      <w:pPr>
        <w:widowControl/>
        <w:shd w:val="clear" w:color="auto" w:fill="FFFFFF"/>
        <w:rPr>
          <w:rFonts w:ascii="標楷體" w:eastAsia="標楷體" w:hAnsi="標楷體" w:cs="Arial"/>
          <w:color w:val="222222"/>
          <w:kern w:val="0"/>
          <w:sz w:val="21"/>
          <w:szCs w:val="21"/>
        </w:rPr>
      </w:pPr>
      <w:bookmarkStart w:id="0" w:name="_GoBack"/>
      <w:r w:rsidRPr="00695713">
        <w:rPr>
          <w:rFonts w:ascii="標楷體" w:eastAsia="標楷體" w:hAnsi="標楷體" w:cs="Arial" w:hint="eastAsia"/>
          <w:b/>
          <w:bCs/>
          <w:color w:val="222222"/>
          <w:kern w:val="0"/>
          <w:sz w:val="32"/>
          <w:szCs w:val="32"/>
        </w:rPr>
        <w:t>云何四種入胎</w:t>
      </w:r>
      <w:bookmarkEnd w:id="0"/>
      <w:r w:rsidRPr="00695713">
        <w:rPr>
          <w:rFonts w:ascii="標楷體" w:eastAsia="標楷體" w:hAnsi="標楷體" w:cs="Arial" w:hint="eastAsia"/>
          <w:b/>
          <w:bCs/>
          <w:color w:val="222222"/>
          <w:kern w:val="0"/>
          <w:sz w:val="32"/>
          <w:szCs w:val="32"/>
        </w:rPr>
        <w:t xml:space="preserve">？　</w:t>
      </w:r>
      <w:r w:rsidRPr="00695713">
        <w:rPr>
          <w:rFonts w:ascii="標楷體" w:eastAsia="標楷體" w:hAnsi="標楷體" w:cs="Arial" w:hint="eastAsia"/>
          <w:bCs/>
          <w:kern w:val="0"/>
          <w:sz w:val="36"/>
          <w:szCs w:val="36"/>
        </w:rPr>
        <w:t>(</w:t>
      </w:r>
      <w:r w:rsidRPr="00695713">
        <w:rPr>
          <w:rFonts w:ascii="標楷體" w:eastAsia="標楷體" w:hAnsi="標楷體" w:cs="Arial"/>
          <w:bCs/>
          <w:kern w:val="0"/>
          <w:sz w:val="36"/>
          <w:szCs w:val="36"/>
        </w:rPr>
        <w:t>瑜伽師地論卷第二)</w:t>
      </w:r>
    </w:p>
    <w:p w:rsid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Arial" w:eastAsia="新細明體" w:hAnsi="Arial" w:cs="Arial" w:hint="eastAsia"/>
          <w:color w:val="222222"/>
          <w:kern w:val="0"/>
          <w:sz w:val="21"/>
          <w:szCs w:val="21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b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b/>
          <w:color w:val="222222"/>
          <w:kern w:val="0"/>
          <w:szCs w:val="24"/>
        </w:rPr>
        <w:t>一、正知而入，不正知住出；二、正知入住，不正知而出；三、俱能正知；四、俱不正知。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第一種是正知而入，不正知住出。中有臨入母胎時，三處現前，無三障礙，他知道這是自己的的父親與母親，稱為「正知而入」。在《大毘婆沙論》卷171談到這個問題，提出很多解釋。就是知道這是自己的父親與母親，入母胎時，具備這種正知的人，不排斥他的父母，他是正知而入。既然正知，為什麼他還要入（投胎）呢？這是因為他「理」上知道不應該有欲，但「事」上無法控制。他雖然正知，還是入了。不正知住出，中有入母胎，受果時完全忘記前生的事情，他不能正知，此刻正住在母胎裡，出胎時他也不曉得。這是一種人，這種人本論說是轉輪聖王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在《大毘婆沙論》中說，這樣的人是屬於初果或二果的聖人，能正知而入，不正知住出。他一出胎就忘記前一生是聖人，但他入胎時是知道的。隔蘊之迷是理不會迷，事還是會迷，這點是合道理的。因為理惑他沒有了，沒有分別我執，事惑的俱生我執他還會有，因此他還會再拿到一個身體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有一個公案說初果聖人投胎就忘記自己前生是聖人，而且投生為女人。有一個婦人前一生是初果聖人，她嫁給一個獵人，準備獵具給他的先生去打獵。有一次先生與三個兒子要去打獵，佛陀知他可以得度，佛就到他們設的陷井那裡去，使他丈夫與三個孩子都獵不到。他丈夫射箭時都射不到佛陀，他覺得很奇怪，佛就為他說法。說完以後回去就告訴他的太太，他太太一聽，就恍然大悟，才想起自己前生是初果聖人。因為他無我觀已修成功，有因緣一刺激她，理就覺醒了，於是放下他的先生與孩子就出家，很快就證得阿羅漢果。佛的弟子就問佛陀，為何初果聖人還殺生？佛說她沒有惡心，這是因為她的因緣是如此，她嫁的先生必須準備獵具，她就是把打獵的工具給先生，心裡並沒有想要殺生。初果聖人不會墮到三惡道，不會有殺生的行為。初果以上聖人的隔陰之迷是事上的迷，理上的迷他沒有，一遇因緣馬上就覺悟了，立刻就出家繼續修行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第二種是正知入住，不正知而出。是這一生一定會證得獨覺的這種人，他的念慧力很強，正知入住，不正知而出。有一類獨覺是這樣，百劫修他的福德因緣，最後一生他就頓悟，成就阿羅漢果，之前其實他已經修了百劫；另有一種獨覺本來是修聲聞，在佛在世時只修到三果，他決定要當獨覺，在無佛時出世，本來三果不用到欲界來的，但他決定要來欲界作辟支佛，這樣的人也是正知入住，不正知而出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第三種是俱能正知，入住出都能知道。《大毘婆沙論》說，這是補處菩薩，就是這一生要成佛的人，他位置是很高的，他入住出會知道。如彌勒菩薩下生時，入母胎時他知道，住胎時像宮殿一樣，他也知道，出的時候，像走路一樣，輕鬆的走出去，沒有從產門破窄而出的壓力。釋迦牟尼佛來投胎時也是這樣。有說十地以上的菩薩是正知入住出，十地以前到八地，是正知入住，不正知而出。有說初地以上才能夠正知而入，不正知住出。初地以下是入住出都不知道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>第四種是俱不正知，是所謂的餘有情凡夫被業風所推，根本來不及拒絕，就這樣去投胎了。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這是說到四種入胎。沒有說到聲聞，聲聞如果是初果、二果，還會來入欲界，三果以上通常到色界去了。此處說入胎，適用於初果、二果。為什麼說獨覺，因為獨覺一定是來欲界，通常選擇來欲界人間成就辟支佛果，這後面〈聲聞地〉還會有解釋，這是跟他的願力有關係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>這裡說獨覺，不說阿羅漢，因為阿羅漢有在色界、無色界成就阿羅漢果，不一定要到欲界來。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b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b/>
          <w:color w:val="222222"/>
          <w:kern w:val="0"/>
          <w:szCs w:val="24"/>
        </w:rPr>
        <w:t>初謂輪王，二謂獨覺，三謂菩薩，四謂所餘有情。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 xml:space="preserve">　正知而入，不正知住出，是指輪王；正知入住，不正知而出，是指獨覺這種人；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 w:hint="eastAsia"/>
          <w:color w:val="222222"/>
          <w:kern w:val="0"/>
          <w:szCs w:val="24"/>
        </w:rPr>
      </w:pPr>
      <w:r w:rsidRPr="00695713">
        <w:rPr>
          <w:rFonts w:ascii="標楷體" w:eastAsia="標楷體" w:hAnsi="標楷體" w:cs="Arial" w:hint="eastAsia"/>
          <w:color w:val="222222"/>
          <w:kern w:val="0"/>
          <w:szCs w:val="24"/>
        </w:rPr>
        <w:t>俱能正知，是指菩薩；俱不正知，就是其餘的凡夫。</w:t>
      </w:r>
    </w:p>
    <w:p w:rsidR="00695713" w:rsidRPr="00695713" w:rsidRDefault="00695713" w:rsidP="00695713">
      <w:pPr>
        <w:widowControl/>
        <w:shd w:val="clear" w:color="auto" w:fill="FFFFFF"/>
        <w:tabs>
          <w:tab w:val="left" w:pos="1635"/>
        </w:tabs>
        <w:rPr>
          <w:rFonts w:ascii="標楷體" w:eastAsia="標楷體" w:hAnsi="標楷體" w:cs="Arial"/>
          <w:color w:val="222222"/>
          <w:kern w:val="0"/>
          <w:szCs w:val="24"/>
        </w:rPr>
      </w:pPr>
    </w:p>
    <w:sectPr w:rsidR="00695713" w:rsidRPr="006957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13"/>
    <w:rsid w:val="00195E3A"/>
    <w:rsid w:val="001F3A83"/>
    <w:rsid w:val="00470721"/>
    <w:rsid w:val="00695713"/>
    <w:rsid w:val="007E43B6"/>
    <w:rsid w:val="00EB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6957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3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69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HeMason</dc:creator>
  <cp:lastModifiedBy>HeMason</cp:lastModifiedBy>
  <cp:revision>1</cp:revision>
  <dcterms:created xsi:type="dcterms:W3CDTF">2013-10-31T10:30:00Z</dcterms:created>
  <dcterms:modified xsi:type="dcterms:W3CDTF">2013-10-31T10:34:00Z</dcterms:modified>
</cp:coreProperties>
</file>